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55F5" w14:textId="7F7E54D3" w:rsidR="00FB2AAC" w:rsidRDefault="00FB2AAC" w:rsidP="00FB2AAC">
      <w:pPr>
        <w:pStyle w:val="ListBullet"/>
        <w:numPr>
          <w:ilvl w:val="0"/>
          <w:numId w:val="0"/>
        </w:numPr>
        <w:ind w:left="360" w:hanging="360"/>
        <w:rPr>
          <w:u w:val="single"/>
        </w:rPr>
      </w:pPr>
      <w:r>
        <w:rPr>
          <w:u w:val="single"/>
        </w:rPr>
        <w:t>L4M1 Revision Update 15</w:t>
      </w:r>
      <w:r w:rsidRPr="00FB2AAC">
        <w:rPr>
          <w:u w:val="single"/>
          <w:vertAlign w:val="superscript"/>
        </w:rPr>
        <w:t>th</w:t>
      </w:r>
      <w:r>
        <w:rPr>
          <w:u w:val="single"/>
        </w:rPr>
        <w:t xml:space="preserve"> May 2022</w:t>
      </w:r>
    </w:p>
    <w:p w14:paraId="2C892A33" w14:textId="2524B0A2" w:rsidR="00FB2AAC" w:rsidRDefault="00FB2AAC" w:rsidP="00FB2AAC">
      <w:pPr>
        <w:pStyle w:val="ListBullet"/>
        <w:numPr>
          <w:ilvl w:val="0"/>
          <w:numId w:val="0"/>
        </w:numPr>
        <w:ind w:left="360" w:hanging="360"/>
        <w:rPr>
          <w:u w:val="single"/>
        </w:rPr>
      </w:pPr>
    </w:p>
    <w:p w14:paraId="5FB17B7B" w14:textId="14C2F6EF" w:rsidR="00913B4A" w:rsidRPr="00913B4A" w:rsidRDefault="00913B4A" w:rsidP="00FB2AAC">
      <w:pPr>
        <w:pStyle w:val="ListBullet"/>
        <w:numPr>
          <w:ilvl w:val="0"/>
          <w:numId w:val="0"/>
        </w:numPr>
        <w:ind w:left="360" w:hanging="360"/>
        <w:rPr>
          <w:u w:val="single"/>
        </w:rPr>
      </w:pPr>
      <w:r w:rsidRPr="00913B4A">
        <w:rPr>
          <w:u w:val="single"/>
        </w:rPr>
        <w:t>Number 1</w:t>
      </w:r>
    </w:p>
    <w:p w14:paraId="0C05A272" w14:textId="1687F2A3" w:rsidR="00913B4A" w:rsidRDefault="00913B4A" w:rsidP="00FB2AAC">
      <w:pPr>
        <w:pStyle w:val="ListBullet"/>
        <w:numPr>
          <w:ilvl w:val="0"/>
          <w:numId w:val="0"/>
        </w:numPr>
        <w:ind w:left="360" w:hanging="360"/>
        <w:rPr>
          <w:u w:val="single"/>
        </w:rPr>
      </w:pPr>
    </w:p>
    <w:p w14:paraId="78741973" w14:textId="07A87171" w:rsidR="00913B4A" w:rsidRDefault="00913B4A" w:rsidP="00FB2AAC">
      <w:pPr>
        <w:pStyle w:val="ListBullet"/>
        <w:numPr>
          <w:ilvl w:val="0"/>
          <w:numId w:val="0"/>
        </w:numPr>
        <w:ind w:left="360" w:hanging="360"/>
      </w:pPr>
      <w:r>
        <w:t>Issue – Carter’s 10 c’s change depending on material source</w:t>
      </w:r>
    </w:p>
    <w:p w14:paraId="6414AC01" w14:textId="081785CC" w:rsidR="00913B4A" w:rsidRDefault="00913B4A" w:rsidP="00FB2AAC">
      <w:pPr>
        <w:pStyle w:val="ListBullet"/>
        <w:numPr>
          <w:ilvl w:val="0"/>
          <w:numId w:val="0"/>
        </w:numPr>
        <w:ind w:left="360" w:hanging="360"/>
      </w:pPr>
    </w:p>
    <w:p w14:paraId="09749803" w14:textId="75FE7594" w:rsidR="00913B4A" w:rsidRPr="00913B4A" w:rsidRDefault="00913B4A" w:rsidP="00FB2AAC">
      <w:pPr>
        <w:pStyle w:val="ListBullet"/>
        <w:numPr>
          <w:ilvl w:val="0"/>
          <w:numId w:val="0"/>
        </w:numPr>
        <w:ind w:left="360" w:hanging="360"/>
      </w:pPr>
      <w:r>
        <w:t>Source to use is below (further information if you click on each link)</w:t>
      </w:r>
    </w:p>
    <w:p w14:paraId="60141B61" w14:textId="77777777" w:rsidR="00913B4A" w:rsidRDefault="00913B4A" w:rsidP="00FB2AAC">
      <w:pPr>
        <w:pStyle w:val="ListBullet"/>
        <w:numPr>
          <w:ilvl w:val="0"/>
          <w:numId w:val="0"/>
        </w:numPr>
        <w:ind w:left="360" w:hanging="360"/>
        <w:rPr>
          <w:u w:val="single"/>
        </w:rPr>
      </w:pPr>
    </w:p>
    <w:p w14:paraId="0B9902FB" w14:textId="36DB096E" w:rsidR="00FB2AAC" w:rsidRDefault="00913B4A" w:rsidP="00FB2AAC">
      <w:pPr>
        <w:pStyle w:val="ListBullet"/>
        <w:numPr>
          <w:ilvl w:val="0"/>
          <w:numId w:val="0"/>
        </w:numPr>
        <w:ind w:left="360" w:hanging="360"/>
        <w:rPr>
          <w:u w:val="single"/>
        </w:rPr>
      </w:pPr>
      <w:r w:rsidRPr="00913B4A">
        <w:rPr>
          <w:u w:val="single"/>
        </w:rPr>
        <w:t>https://www.10cmodelsupplierselection.com/the-10c-model/#1504264657581-543eb9b6-a2f6</w:t>
      </w:r>
    </w:p>
    <w:p w14:paraId="0AACFBEC" w14:textId="77777777" w:rsidR="00913B4A" w:rsidRDefault="00913B4A" w:rsidP="00FB2AAC">
      <w:pPr>
        <w:pStyle w:val="ListBullet"/>
        <w:numPr>
          <w:ilvl w:val="0"/>
          <w:numId w:val="0"/>
        </w:numPr>
        <w:ind w:left="360" w:hanging="360"/>
      </w:pPr>
    </w:p>
    <w:p w14:paraId="3CBF7D78" w14:textId="77777777" w:rsidR="00913B4A" w:rsidRDefault="00FB2AAC" w:rsidP="00913B4A">
      <w:pPr>
        <w:pStyle w:val="ListBullet"/>
        <w:numPr>
          <w:ilvl w:val="0"/>
          <w:numId w:val="3"/>
        </w:numPr>
      </w:pPr>
      <w:hyperlink r:id="rId5" w:history="1">
        <w:r>
          <w:rPr>
            <w:rStyle w:val="Hyperlink"/>
            <w:color w:val="777777"/>
            <w:sz w:val="23"/>
            <w:szCs w:val="23"/>
            <w:shd w:val="clear" w:color="auto" w:fill="FFFFFF"/>
          </w:rPr>
          <w:t>Competency</w:t>
        </w:r>
      </w:hyperlink>
    </w:p>
    <w:p w14:paraId="6AF9179D" w14:textId="193D40FC" w:rsidR="00913B4A" w:rsidRDefault="00FB2AAC" w:rsidP="00913B4A">
      <w:pPr>
        <w:pStyle w:val="ListBullet"/>
        <w:numPr>
          <w:ilvl w:val="0"/>
          <w:numId w:val="3"/>
        </w:numPr>
      </w:pPr>
      <w:hyperlink r:id="rId6" w:history="1">
        <w:r>
          <w:rPr>
            <w:rStyle w:val="Hyperlink"/>
            <w:color w:val="777777"/>
            <w:sz w:val="23"/>
            <w:szCs w:val="23"/>
            <w:shd w:val="clear" w:color="auto" w:fill="FFFFFF"/>
          </w:rPr>
          <w:t>Capacity</w:t>
        </w:r>
      </w:hyperlink>
    </w:p>
    <w:p w14:paraId="63266E90" w14:textId="546C667A" w:rsidR="00913B4A" w:rsidRDefault="00913B4A" w:rsidP="00913B4A">
      <w:pPr>
        <w:pStyle w:val="ListBullet"/>
        <w:numPr>
          <w:ilvl w:val="0"/>
          <w:numId w:val="3"/>
        </w:numPr>
      </w:pPr>
      <w:hyperlink r:id="rId7" w:history="1">
        <w:r w:rsidRPr="00913B4A">
          <w:rPr>
            <w:rStyle w:val="Hyperlink"/>
            <w:color w:val="777777"/>
            <w:sz w:val="23"/>
            <w:szCs w:val="23"/>
            <w:shd w:val="clear" w:color="auto" w:fill="FFFFFF"/>
          </w:rPr>
          <w:t>Commitment to Quality</w:t>
        </w:r>
      </w:hyperlink>
    </w:p>
    <w:p w14:paraId="48944AEE" w14:textId="77777777" w:rsidR="00913B4A" w:rsidRPr="00913B4A" w:rsidRDefault="00913B4A" w:rsidP="00913B4A">
      <w:pPr>
        <w:pStyle w:val="ListBullet"/>
        <w:numPr>
          <w:ilvl w:val="0"/>
          <w:numId w:val="3"/>
        </w:numPr>
      </w:pPr>
      <w:hyperlink r:id="rId8" w:history="1">
        <w:r>
          <w:rPr>
            <w:rStyle w:val="Hyperlink"/>
            <w:color w:val="777777"/>
            <w:sz w:val="23"/>
            <w:szCs w:val="23"/>
            <w:shd w:val="clear" w:color="auto" w:fill="FFFFFF"/>
          </w:rPr>
          <w:t>Control of Internal Processes</w:t>
        </w:r>
      </w:hyperlink>
    </w:p>
    <w:p w14:paraId="75D4D32B" w14:textId="77777777" w:rsidR="00913B4A" w:rsidRPr="00913B4A" w:rsidRDefault="00913B4A" w:rsidP="00913B4A">
      <w:pPr>
        <w:pStyle w:val="ListBullet"/>
        <w:numPr>
          <w:ilvl w:val="0"/>
          <w:numId w:val="3"/>
        </w:numPr>
      </w:pPr>
      <w:hyperlink r:id="rId9" w:history="1">
        <w:r>
          <w:rPr>
            <w:rStyle w:val="Hyperlink"/>
            <w:color w:val="777777"/>
            <w:sz w:val="23"/>
            <w:szCs w:val="23"/>
            <w:shd w:val="clear" w:color="auto" w:fill="FFFFFF"/>
          </w:rPr>
          <w:t>Cash and Finance</w:t>
        </w:r>
      </w:hyperlink>
    </w:p>
    <w:p w14:paraId="30E671E4" w14:textId="77777777" w:rsidR="00913B4A" w:rsidRPr="00913B4A" w:rsidRDefault="00FB2AAC" w:rsidP="00913B4A">
      <w:pPr>
        <w:pStyle w:val="ListBullet"/>
        <w:numPr>
          <w:ilvl w:val="0"/>
          <w:numId w:val="3"/>
        </w:numPr>
      </w:pPr>
      <w:hyperlink r:id="rId10" w:history="1">
        <w:r>
          <w:rPr>
            <w:rStyle w:val="Hyperlink"/>
            <w:color w:val="777777"/>
            <w:sz w:val="23"/>
            <w:szCs w:val="23"/>
            <w:shd w:val="clear" w:color="auto" w:fill="FFFFFF"/>
          </w:rPr>
          <w:t>Consistency of Performance</w:t>
        </w:r>
      </w:hyperlink>
    </w:p>
    <w:p w14:paraId="392D826E" w14:textId="77777777" w:rsidR="00913B4A" w:rsidRPr="00913B4A" w:rsidRDefault="00FB2AAC" w:rsidP="00913B4A">
      <w:pPr>
        <w:pStyle w:val="ListBullet"/>
        <w:numPr>
          <w:ilvl w:val="0"/>
          <w:numId w:val="3"/>
        </w:numPr>
      </w:pPr>
      <w:hyperlink r:id="rId11" w:history="1">
        <w:r>
          <w:rPr>
            <w:rStyle w:val="Hyperlink"/>
            <w:color w:val="777777"/>
            <w:sz w:val="23"/>
            <w:szCs w:val="23"/>
            <w:shd w:val="clear" w:color="auto" w:fill="FFFFFF"/>
          </w:rPr>
          <w:t>Cost</w:t>
        </w:r>
      </w:hyperlink>
    </w:p>
    <w:p w14:paraId="53E7AD44" w14:textId="77777777" w:rsidR="00913B4A" w:rsidRPr="00913B4A" w:rsidRDefault="00913B4A" w:rsidP="00913B4A">
      <w:pPr>
        <w:pStyle w:val="ListBullet"/>
        <w:numPr>
          <w:ilvl w:val="0"/>
          <w:numId w:val="3"/>
        </w:numPr>
      </w:pPr>
      <w:r>
        <w:t xml:space="preserve">Compatibility to </w:t>
      </w:r>
      <w:hyperlink r:id="rId12" w:history="1">
        <w:r>
          <w:rPr>
            <w:rStyle w:val="Hyperlink"/>
            <w:color w:val="777777"/>
            <w:sz w:val="23"/>
            <w:szCs w:val="23"/>
            <w:shd w:val="clear" w:color="auto" w:fill="FFFFFF"/>
          </w:rPr>
          <w:t>Culture</w:t>
        </w:r>
      </w:hyperlink>
    </w:p>
    <w:p w14:paraId="3EC4DC3A" w14:textId="77777777" w:rsidR="00913B4A" w:rsidRPr="00913B4A" w:rsidRDefault="00913B4A" w:rsidP="00913B4A">
      <w:pPr>
        <w:pStyle w:val="ListBullet"/>
        <w:numPr>
          <w:ilvl w:val="0"/>
          <w:numId w:val="3"/>
        </w:numPr>
      </w:pPr>
      <w:r>
        <w:t xml:space="preserve">Compliance to </w:t>
      </w:r>
      <w:hyperlink r:id="rId13" w:history="1">
        <w:r>
          <w:rPr>
            <w:rStyle w:val="Hyperlink"/>
            <w:color w:val="777777"/>
            <w:sz w:val="23"/>
            <w:szCs w:val="23"/>
            <w:shd w:val="clear" w:color="auto" w:fill="FFFFFF"/>
          </w:rPr>
          <w:t>CSR</w:t>
        </w:r>
      </w:hyperlink>
    </w:p>
    <w:p w14:paraId="742F724C" w14:textId="77777777" w:rsidR="00913B4A" w:rsidRDefault="00913B4A" w:rsidP="00913B4A">
      <w:pPr>
        <w:pStyle w:val="ListBullet"/>
        <w:numPr>
          <w:ilvl w:val="0"/>
          <w:numId w:val="3"/>
        </w:numPr>
      </w:pPr>
      <w:hyperlink r:id="rId14" w:history="1">
        <w:r>
          <w:rPr>
            <w:rStyle w:val="Hyperlink"/>
            <w:color w:val="777777"/>
            <w:sz w:val="23"/>
            <w:szCs w:val="23"/>
            <w:shd w:val="clear" w:color="auto" w:fill="FFFFFF"/>
          </w:rPr>
          <w:t>Communication</w:t>
        </w:r>
      </w:hyperlink>
    </w:p>
    <w:p w14:paraId="2D0153DF" w14:textId="77777777" w:rsidR="00913B4A" w:rsidRDefault="00913B4A" w:rsidP="00913B4A">
      <w:pPr>
        <w:pStyle w:val="ListBullet"/>
        <w:numPr>
          <w:ilvl w:val="0"/>
          <w:numId w:val="0"/>
        </w:numPr>
        <w:ind w:left="360" w:hanging="360"/>
        <w:rPr>
          <w:rFonts w:ascii="Arial" w:hAnsi="Arial" w:cs="Arial"/>
          <w:color w:val="777777"/>
          <w:sz w:val="23"/>
          <w:szCs w:val="23"/>
        </w:rPr>
      </w:pPr>
    </w:p>
    <w:p w14:paraId="342F648F" w14:textId="5BBD4909" w:rsidR="00913B4A" w:rsidRDefault="00913B4A" w:rsidP="00913B4A">
      <w:pPr>
        <w:pStyle w:val="ListBullet"/>
        <w:numPr>
          <w:ilvl w:val="0"/>
          <w:numId w:val="0"/>
        </w:numPr>
      </w:pPr>
      <w:r>
        <w:t xml:space="preserve">The problematic ones are Number 7 and Number 8. Sources can state ‘compatibility’ or ‘culture’ </w:t>
      </w:r>
      <w:proofErr w:type="gramStart"/>
      <w:r>
        <w:t>and also</w:t>
      </w:r>
      <w:proofErr w:type="gramEnd"/>
      <w:r>
        <w:t xml:space="preserve"> ‘compliance’ or ‘CSR’. </w:t>
      </w:r>
    </w:p>
    <w:p w14:paraId="1E802E13" w14:textId="77777777" w:rsidR="00913B4A" w:rsidRDefault="00913B4A" w:rsidP="00913B4A">
      <w:pPr>
        <w:pStyle w:val="ListBullet"/>
        <w:numPr>
          <w:ilvl w:val="0"/>
          <w:numId w:val="0"/>
        </w:numPr>
      </w:pPr>
    </w:p>
    <w:p w14:paraId="1B43AB2D" w14:textId="77777777" w:rsidR="00913B4A" w:rsidRDefault="00913B4A" w:rsidP="00913B4A">
      <w:pPr>
        <w:pStyle w:val="ListBullet"/>
        <w:numPr>
          <w:ilvl w:val="0"/>
          <w:numId w:val="0"/>
        </w:numPr>
        <w:rPr>
          <w:u w:val="single"/>
        </w:rPr>
      </w:pPr>
      <w:r>
        <w:rPr>
          <w:u w:val="single"/>
        </w:rPr>
        <w:t>Solution</w:t>
      </w:r>
    </w:p>
    <w:p w14:paraId="68A503E6" w14:textId="1DB773F7" w:rsidR="00C359AF" w:rsidRDefault="00C359AF" w:rsidP="00913B4A">
      <w:pPr>
        <w:pStyle w:val="ListBullet"/>
        <w:numPr>
          <w:ilvl w:val="0"/>
          <w:numId w:val="0"/>
        </w:numPr>
      </w:pPr>
      <w:r>
        <w:t xml:space="preserve">There are very much the same, with ‘compatibility’ and ‘compliance’ being the verb. However, it can be argued that other things </w:t>
      </w:r>
      <w:r>
        <w:t xml:space="preserve">apart from culture needs to be compatible and other things apart from CSR need to be complied with, ethics for example. </w:t>
      </w:r>
    </w:p>
    <w:p w14:paraId="21E889E6" w14:textId="70FEF4C0" w:rsidR="00C359AF" w:rsidRDefault="00C359AF" w:rsidP="00913B4A">
      <w:pPr>
        <w:pStyle w:val="ListBullet"/>
        <w:numPr>
          <w:ilvl w:val="0"/>
          <w:numId w:val="0"/>
        </w:numPr>
      </w:pPr>
    </w:p>
    <w:p w14:paraId="00004C6F" w14:textId="672C5483" w:rsidR="00C359AF" w:rsidRDefault="00C359AF" w:rsidP="00913B4A">
      <w:pPr>
        <w:pStyle w:val="ListBullet"/>
        <w:numPr>
          <w:ilvl w:val="0"/>
          <w:numId w:val="0"/>
        </w:numPr>
      </w:pPr>
      <w:r>
        <w:t xml:space="preserve">Even though the links above are the Carter’s 10 c’s, it shows from Carter’s own website that organisations have adapted these to suit their own requirements. </w:t>
      </w:r>
      <w:proofErr w:type="gramStart"/>
      <w:r>
        <w:t>So</w:t>
      </w:r>
      <w:proofErr w:type="gramEnd"/>
      <w:r>
        <w:t xml:space="preserve"> my suggestion is to stick with ‘compatibility’ and ‘compliance’ as this broadens out any potential response. </w:t>
      </w:r>
    </w:p>
    <w:p w14:paraId="3FB90715" w14:textId="77777777" w:rsidR="00C359AF" w:rsidRDefault="00C359AF" w:rsidP="00913B4A">
      <w:pPr>
        <w:pStyle w:val="ListBullet"/>
        <w:numPr>
          <w:ilvl w:val="0"/>
          <w:numId w:val="0"/>
        </w:numPr>
      </w:pPr>
    </w:p>
    <w:p w14:paraId="37A1FD84" w14:textId="77777777" w:rsidR="00C359AF" w:rsidRDefault="00C359AF" w:rsidP="00C359AF">
      <w:pPr>
        <w:pStyle w:val="ListBullet"/>
        <w:numPr>
          <w:ilvl w:val="0"/>
          <w:numId w:val="0"/>
        </w:numPr>
        <w:ind w:left="360" w:hanging="360"/>
        <w:rPr>
          <w:rFonts w:ascii="Arial" w:hAnsi="Arial" w:cs="Arial"/>
          <w:color w:val="777777"/>
          <w:sz w:val="23"/>
          <w:szCs w:val="23"/>
        </w:rPr>
      </w:pPr>
    </w:p>
    <w:p w14:paraId="4F487318" w14:textId="7F287C9E" w:rsidR="00C359AF" w:rsidRDefault="00C359AF" w:rsidP="00C359AF">
      <w:pPr>
        <w:pStyle w:val="ListBullet"/>
        <w:numPr>
          <w:ilvl w:val="0"/>
          <w:numId w:val="0"/>
        </w:numPr>
        <w:ind w:left="360" w:hanging="360"/>
        <w:rPr>
          <w:u w:val="single"/>
        </w:rPr>
      </w:pPr>
      <w:r w:rsidRPr="00913B4A">
        <w:rPr>
          <w:u w:val="single"/>
        </w:rPr>
        <w:t xml:space="preserve">Number </w:t>
      </w:r>
      <w:r>
        <w:rPr>
          <w:u w:val="single"/>
        </w:rPr>
        <w:t>2</w:t>
      </w:r>
    </w:p>
    <w:p w14:paraId="4F41C092" w14:textId="0F542EE1" w:rsidR="00C359AF" w:rsidRDefault="00C359AF" w:rsidP="00C359AF">
      <w:pPr>
        <w:pStyle w:val="ListBullet"/>
        <w:numPr>
          <w:ilvl w:val="0"/>
          <w:numId w:val="0"/>
        </w:numPr>
        <w:ind w:left="360" w:hanging="360"/>
      </w:pPr>
    </w:p>
    <w:p w14:paraId="2B9716A7" w14:textId="4619F691" w:rsidR="00C359AF" w:rsidRDefault="00C359AF" w:rsidP="00C359AF">
      <w:pPr>
        <w:pStyle w:val="ListBullet"/>
        <w:numPr>
          <w:ilvl w:val="0"/>
          <w:numId w:val="0"/>
        </w:numPr>
        <w:ind w:left="360" w:hanging="360"/>
      </w:pPr>
      <w:r>
        <w:t>Question regarding the link between the raising donation objective and procurement (25 marks)</w:t>
      </w:r>
    </w:p>
    <w:p w14:paraId="6D1502FF" w14:textId="5A20E72C" w:rsidR="00C359AF" w:rsidRDefault="00C359AF" w:rsidP="00C359AF">
      <w:pPr>
        <w:pStyle w:val="ListBullet"/>
        <w:numPr>
          <w:ilvl w:val="0"/>
          <w:numId w:val="0"/>
        </w:numPr>
        <w:ind w:left="360" w:hanging="360"/>
      </w:pPr>
    </w:p>
    <w:p w14:paraId="3B516A9C" w14:textId="753ADFE5" w:rsidR="00C359AF" w:rsidRDefault="00C359AF" w:rsidP="00C359AF">
      <w:pPr>
        <w:pStyle w:val="ListBullet"/>
        <w:numPr>
          <w:ilvl w:val="0"/>
          <w:numId w:val="0"/>
        </w:numPr>
        <w:ind w:left="360" w:hanging="360"/>
      </w:pPr>
      <w:r>
        <w:t>This one can be a tricky one and the below is what I’ve come up with for the top-level headers</w:t>
      </w:r>
    </w:p>
    <w:p w14:paraId="6EAC3E10" w14:textId="60D5DEFA" w:rsidR="00C359AF" w:rsidRDefault="00C359AF" w:rsidP="00C359AF">
      <w:pPr>
        <w:pStyle w:val="ListBullet"/>
        <w:numPr>
          <w:ilvl w:val="0"/>
          <w:numId w:val="0"/>
        </w:numPr>
        <w:ind w:left="360" w:hanging="360"/>
      </w:pPr>
    </w:p>
    <w:p w14:paraId="07D7FDB5" w14:textId="2033434B" w:rsidR="00C359AF" w:rsidRDefault="00C359AF" w:rsidP="00C359AF">
      <w:pPr>
        <w:pStyle w:val="ListBullet"/>
        <w:numPr>
          <w:ilvl w:val="0"/>
          <w:numId w:val="0"/>
        </w:numPr>
      </w:pPr>
      <w:r>
        <w:t xml:space="preserve">Normally the two hardly meet but they should. </w:t>
      </w:r>
    </w:p>
    <w:p w14:paraId="69A94CBD" w14:textId="1EF1ED37" w:rsidR="00F27591" w:rsidRDefault="00F27591" w:rsidP="00C359AF">
      <w:pPr>
        <w:pStyle w:val="ListBullet"/>
        <w:numPr>
          <w:ilvl w:val="0"/>
          <w:numId w:val="0"/>
        </w:numPr>
      </w:pPr>
    </w:p>
    <w:p w14:paraId="3EE9E6C5" w14:textId="77777777" w:rsidR="00F27591" w:rsidRDefault="00F27591" w:rsidP="00C359AF">
      <w:pPr>
        <w:pStyle w:val="ListBullet"/>
        <w:numPr>
          <w:ilvl w:val="0"/>
          <w:numId w:val="0"/>
        </w:numPr>
        <w:rPr>
          <w:u w:val="single"/>
        </w:rPr>
      </w:pPr>
    </w:p>
    <w:p w14:paraId="6EDB50C6" w14:textId="77777777" w:rsidR="00F27591" w:rsidRDefault="00F27591" w:rsidP="00C359AF">
      <w:pPr>
        <w:pStyle w:val="ListBullet"/>
        <w:numPr>
          <w:ilvl w:val="0"/>
          <w:numId w:val="0"/>
        </w:numPr>
        <w:rPr>
          <w:u w:val="single"/>
        </w:rPr>
      </w:pPr>
    </w:p>
    <w:p w14:paraId="6FE11E30" w14:textId="77777777" w:rsidR="00F27591" w:rsidRDefault="00F27591" w:rsidP="00C359AF">
      <w:pPr>
        <w:pStyle w:val="ListBullet"/>
        <w:numPr>
          <w:ilvl w:val="0"/>
          <w:numId w:val="0"/>
        </w:numPr>
        <w:rPr>
          <w:u w:val="single"/>
        </w:rPr>
      </w:pPr>
    </w:p>
    <w:p w14:paraId="5A9FA33E" w14:textId="77777777" w:rsidR="00F27591" w:rsidRDefault="00F27591" w:rsidP="00C359AF">
      <w:pPr>
        <w:pStyle w:val="ListBullet"/>
        <w:numPr>
          <w:ilvl w:val="0"/>
          <w:numId w:val="0"/>
        </w:numPr>
        <w:rPr>
          <w:u w:val="single"/>
        </w:rPr>
      </w:pPr>
    </w:p>
    <w:p w14:paraId="5C2BA4F2" w14:textId="77777777" w:rsidR="00F27591" w:rsidRDefault="00F27591" w:rsidP="00C359AF">
      <w:pPr>
        <w:pStyle w:val="ListBullet"/>
        <w:numPr>
          <w:ilvl w:val="0"/>
          <w:numId w:val="0"/>
        </w:numPr>
        <w:rPr>
          <w:u w:val="single"/>
        </w:rPr>
      </w:pPr>
    </w:p>
    <w:p w14:paraId="422628CD" w14:textId="39466208" w:rsidR="00F27591" w:rsidRPr="00F27591" w:rsidRDefault="00F27591" w:rsidP="00C359AF">
      <w:pPr>
        <w:pStyle w:val="ListBullet"/>
        <w:numPr>
          <w:ilvl w:val="0"/>
          <w:numId w:val="0"/>
        </w:numPr>
        <w:rPr>
          <w:u w:val="single"/>
        </w:rPr>
      </w:pPr>
      <w:r>
        <w:rPr>
          <w:u w:val="single"/>
        </w:rPr>
        <w:lastRenderedPageBreak/>
        <w:t>Solution</w:t>
      </w:r>
    </w:p>
    <w:p w14:paraId="474DFC80" w14:textId="15DCA3ED" w:rsidR="00C359AF" w:rsidRDefault="00C359AF" w:rsidP="00C359AF">
      <w:pPr>
        <w:pStyle w:val="ListBullet"/>
        <w:numPr>
          <w:ilvl w:val="0"/>
          <w:numId w:val="0"/>
        </w:numPr>
        <w:ind w:left="360" w:hanging="360"/>
      </w:pPr>
    </w:p>
    <w:p w14:paraId="4C898461" w14:textId="7E75FE05" w:rsidR="00C359AF" w:rsidRDefault="00C359AF" w:rsidP="00C359AF">
      <w:pPr>
        <w:pStyle w:val="ListBullet"/>
        <w:numPr>
          <w:ilvl w:val="0"/>
          <w:numId w:val="4"/>
        </w:numPr>
      </w:pPr>
      <w:r>
        <w:t>Ensuring reputation of the third sector and supply chain is upheld</w:t>
      </w:r>
    </w:p>
    <w:p w14:paraId="183DA754" w14:textId="201DC5A5" w:rsidR="005A6E3D" w:rsidRDefault="00C359AF" w:rsidP="005A6E3D">
      <w:pPr>
        <w:pStyle w:val="ListBullet"/>
        <w:numPr>
          <w:ilvl w:val="0"/>
          <w:numId w:val="4"/>
        </w:numPr>
      </w:pPr>
      <w:r>
        <w:t xml:space="preserve">Promoting awareness of the organisation through the supply chain </w:t>
      </w:r>
    </w:p>
    <w:p w14:paraId="1BBFF16F" w14:textId="3C069622" w:rsidR="00C359AF" w:rsidRDefault="00C359AF" w:rsidP="00C359AF">
      <w:pPr>
        <w:pStyle w:val="ListBullet"/>
        <w:numPr>
          <w:ilvl w:val="0"/>
          <w:numId w:val="4"/>
        </w:numPr>
      </w:pPr>
      <w:r>
        <w:t>Gaining market intelligence</w:t>
      </w:r>
    </w:p>
    <w:p w14:paraId="63BA5D88" w14:textId="238ACB8F" w:rsidR="00C359AF" w:rsidRDefault="00C359AF" w:rsidP="00C359AF">
      <w:pPr>
        <w:pStyle w:val="ListBullet"/>
        <w:numPr>
          <w:ilvl w:val="0"/>
          <w:numId w:val="4"/>
        </w:numPr>
      </w:pPr>
      <w:r>
        <w:t>Reducing supply chain costs to free up money for promotions</w:t>
      </w:r>
    </w:p>
    <w:p w14:paraId="2E923B17" w14:textId="77777777" w:rsidR="005A6E3D" w:rsidRDefault="00C359AF" w:rsidP="005A6E3D">
      <w:pPr>
        <w:pStyle w:val="ListBullet"/>
        <w:numPr>
          <w:ilvl w:val="0"/>
          <w:numId w:val="4"/>
        </w:numPr>
      </w:pPr>
      <w:r>
        <w:t xml:space="preserve">Procuring promotional merchandising as per specification from marketing </w:t>
      </w:r>
    </w:p>
    <w:p w14:paraId="7ED0AA92" w14:textId="08834246" w:rsidR="00C359AF" w:rsidRDefault="00C359AF" w:rsidP="005A6E3D">
      <w:pPr>
        <w:pStyle w:val="ListBullet"/>
        <w:numPr>
          <w:ilvl w:val="0"/>
          <w:numId w:val="0"/>
        </w:numPr>
      </w:pPr>
      <w:r>
        <w:t xml:space="preserve">How I approached this one, and the same can be applied to increasing market share for both private and third sector, is to think in a way on how procurement can support sales and market to drive revenue; be it donations, share investment or new customers and contracts. </w:t>
      </w:r>
    </w:p>
    <w:p w14:paraId="3AE22ED2" w14:textId="0B5C5B9F" w:rsidR="00C359AF" w:rsidRDefault="00C359AF" w:rsidP="00913B4A">
      <w:pPr>
        <w:pStyle w:val="ListBullet"/>
        <w:numPr>
          <w:ilvl w:val="0"/>
          <w:numId w:val="0"/>
        </w:numPr>
      </w:pPr>
    </w:p>
    <w:p w14:paraId="71338C7E" w14:textId="61A1C4A5" w:rsidR="005A6E3D" w:rsidRDefault="005A6E3D" w:rsidP="00913B4A">
      <w:pPr>
        <w:pStyle w:val="ListBullet"/>
        <w:numPr>
          <w:ilvl w:val="0"/>
          <w:numId w:val="0"/>
        </w:numPr>
      </w:pPr>
    </w:p>
    <w:p w14:paraId="1601C5FC" w14:textId="66AD654B" w:rsidR="005A6E3D" w:rsidRDefault="005A6E3D" w:rsidP="00913B4A">
      <w:pPr>
        <w:pStyle w:val="ListBullet"/>
        <w:numPr>
          <w:ilvl w:val="0"/>
          <w:numId w:val="0"/>
        </w:numPr>
        <w:rPr>
          <w:u w:val="single"/>
        </w:rPr>
      </w:pPr>
      <w:r>
        <w:rPr>
          <w:u w:val="single"/>
        </w:rPr>
        <w:t>Number 3</w:t>
      </w:r>
    </w:p>
    <w:p w14:paraId="2513D114" w14:textId="3C7FB626" w:rsidR="005A6E3D" w:rsidRDefault="005A6E3D" w:rsidP="00913B4A">
      <w:pPr>
        <w:pStyle w:val="ListBullet"/>
        <w:numPr>
          <w:ilvl w:val="0"/>
          <w:numId w:val="0"/>
        </w:numPr>
        <w:rPr>
          <w:u w:val="single"/>
        </w:rPr>
      </w:pPr>
    </w:p>
    <w:p w14:paraId="0A7B9BEF" w14:textId="1163C22A" w:rsidR="005A6E3D" w:rsidRDefault="005A6E3D" w:rsidP="00913B4A">
      <w:pPr>
        <w:pStyle w:val="ListBullet"/>
        <w:numPr>
          <w:ilvl w:val="0"/>
          <w:numId w:val="0"/>
        </w:numPr>
      </w:pPr>
      <w:r>
        <w:t>What should be in a procurement or sourcing procedure (25 marks)</w:t>
      </w:r>
    </w:p>
    <w:p w14:paraId="3B1C8E77" w14:textId="51923077" w:rsidR="00F27591" w:rsidRDefault="00F27591" w:rsidP="00913B4A">
      <w:pPr>
        <w:pStyle w:val="ListBullet"/>
        <w:numPr>
          <w:ilvl w:val="0"/>
          <w:numId w:val="0"/>
        </w:numPr>
      </w:pPr>
    </w:p>
    <w:p w14:paraId="705A18C6" w14:textId="212146C7" w:rsidR="00F27591" w:rsidRPr="00F27591" w:rsidRDefault="00F27591" w:rsidP="00913B4A">
      <w:pPr>
        <w:pStyle w:val="ListBullet"/>
        <w:numPr>
          <w:ilvl w:val="0"/>
          <w:numId w:val="0"/>
        </w:numPr>
        <w:rPr>
          <w:u w:val="single"/>
        </w:rPr>
      </w:pPr>
      <w:r>
        <w:rPr>
          <w:u w:val="single"/>
        </w:rPr>
        <w:t>Solution</w:t>
      </w:r>
    </w:p>
    <w:p w14:paraId="61420F3F" w14:textId="3E4FD8C6" w:rsidR="005A6E3D" w:rsidRDefault="005A6E3D" w:rsidP="00913B4A">
      <w:pPr>
        <w:pStyle w:val="ListBullet"/>
        <w:numPr>
          <w:ilvl w:val="0"/>
          <w:numId w:val="0"/>
        </w:numPr>
      </w:pPr>
    </w:p>
    <w:p w14:paraId="183C0B8F" w14:textId="43597997" w:rsidR="005A6E3D" w:rsidRDefault="005A6E3D" w:rsidP="005A6E3D">
      <w:pPr>
        <w:pStyle w:val="ListBullet"/>
        <w:numPr>
          <w:ilvl w:val="0"/>
          <w:numId w:val="5"/>
        </w:numPr>
      </w:pPr>
      <w:r>
        <w:t xml:space="preserve">Roles and responsibilities </w:t>
      </w:r>
    </w:p>
    <w:p w14:paraId="6F2A6133" w14:textId="5102894B" w:rsidR="005A6E3D" w:rsidRDefault="005A6E3D" w:rsidP="005A6E3D">
      <w:pPr>
        <w:pStyle w:val="ListBullet"/>
        <w:numPr>
          <w:ilvl w:val="0"/>
          <w:numId w:val="5"/>
        </w:numPr>
      </w:pPr>
      <w:r>
        <w:t>Authorisation limits</w:t>
      </w:r>
    </w:p>
    <w:p w14:paraId="20C79BD0" w14:textId="6FD94996" w:rsidR="005A6E3D" w:rsidRDefault="005A6E3D" w:rsidP="005A6E3D">
      <w:pPr>
        <w:pStyle w:val="ListBullet"/>
        <w:numPr>
          <w:ilvl w:val="0"/>
          <w:numId w:val="5"/>
        </w:numPr>
      </w:pPr>
      <w:r>
        <w:t>Method of contracting</w:t>
      </w:r>
    </w:p>
    <w:p w14:paraId="45890E91" w14:textId="5952CE33" w:rsidR="005A6E3D" w:rsidRDefault="005A6E3D" w:rsidP="005A6E3D">
      <w:pPr>
        <w:pStyle w:val="ListBullet"/>
        <w:numPr>
          <w:ilvl w:val="0"/>
          <w:numId w:val="5"/>
        </w:numPr>
      </w:pPr>
      <w:r>
        <w:t xml:space="preserve">Methods of risk assessment </w:t>
      </w:r>
    </w:p>
    <w:p w14:paraId="153E8FED" w14:textId="35F844C5" w:rsidR="005A6E3D" w:rsidRDefault="005A6E3D" w:rsidP="005A6E3D">
      <w:pPr>
        <w:pStyle w:val="ListBullet"/>
        <w:numPr>
          <w:ilvl w:val="0"/>
          <w:numId w:val="5"/>
        </w:numPr>
      </w:pPr>
      <w:r>
        <w:t>Purchase order/ P2P process</w:t>
      </w:r>
    </w:p>
    <w:p w14:paraId="32317094" w14:textId="77777777" w:rsidR="005A6E3D" w:rsidRDefault="005A6E3D" w:rsidP="00913B4A">
      <w:pPr>
        <w:pStyle w:val="ListBullet"/>
        <w:numPr>
          <w:ilvl w:val="0"/>
          <w:numId w:val="0"/>
        </w:numPr>
      </w:pPr>
    </w:p>
    <w:p w14:paraId="1B57618B" w14:textId="080C5231" w:rsidR="005A6E3D" w:rsidRDefault="005A6E3D" w:rsidP="00913B4A">
      <w:pPr>
        <w:pStyle w:val="ListBullet"/>
        <w:numPr>
          <w:ilvl w:val="0"/>
          <w:numId w:val="0"/>
        </w:numPr>
      </w:pPr>
      <w:r>
        <w:t xml:space="preserve">The above was grabbed from the link below for an example procurement procedure, hopefully you have already had a look at your internal procurement procedures as advised during the session. </w:t>
      </w:r>
    </w:p>
    <w:p w14:paraId="70F93937" w14:textId="2414DD9B" w:rsidR="005A6E3D" w:rsidRDefault="005A6E3D" w:rsidP="00913B4A">
      <w:pPr>
        <w:pStyle w:val="ListBullet"/>
        <w:numPr>
          <w:ilvl w:val="0"/>
          <w:numId w:val="0"/>
        </w:numPr>
      </w:pPr>
    </w:p>
    <w:p w14:paraId="4F864911" w14:textId="52E451DB" w:rsidR="005A6E3D" w:rsidRDefault="005A6E3D" w:rsidP="00913B4A">
      <w:pPr>
        <w:pStyle w:val="ListBullet"/>
        <w:numPr>
          <w:ilvl w:val="0"/>
          <w:numId w:val="0"/>
        </w:numPr>
      </w:pPr>
      <w:hyperlink r:id="rId15" w:history="1">
        <w:r w:rsidRPr="00D85FBB">
          <w:rPr>
            <w:rStyle w:val="Hyperlink"/>
          </w:rPr>
          <w:t>https://www.sqa.org.uk/sqa/files_ccc/Procurement_Procedures.doc</w:t>
        </w:r>
      </w:hyperlink>
    </w:p>
    <w:p w14:paraId="02BF1BE7" w14:textId="1C252D4E" w:rsidR="005A6E3D" w:rsidRDefault="005A6E3D" w:rsidP="00913B4A">
      <w:pPr>
        <w:pStyle w:val="ListBullet"/>
        <w:numPr>
          <w:ilvl w:val="0"/>
          <w:numId w:val="0"/>
        </w:numPr>
      </w:pPr>
    </w:p>
    <w:p w14:paraId="5947CEA5" w14:textId="71A297BF" w:rsidR="005A6E3D" w:rsidRDefault="005A6E3D" w:rsidP="00913B4A">
      <w:pPr>
        <w:pStyle w:val="ListBullet"/>
        <w:numPr>
          <w:ilvl w:val="0"/>
          <w:numId w:val="0"/>
        </w:numPr>
      </w:pPr>
      <w:r>
        <w:t xml:space="preserve">Some students in the past have got a bit confused as to what the differences are between a policy, </w:t>
      </w:r>
      <w:proofErr w:type="gramStart"/>
      <w:r>
        <w:t>procedure</w:t>
      </w:r>
      <w:proofErr w:type="gramEnd"/>
      <w:r>
        <w:t xml:space="preserve"> and process. </w:t>
      </w:r>
    </w:p>
    <w:p w14:paraId="05A47233" w14:textId="10BDD317" w:rsidR="005A6E3D" w:rsidRDefault="005A6E3D" w:rsidP="00913B4A">
      <w:pPr>
        <w:pStyle w:val="ListBullet"/>
        <w:numPr>
          <w:ilvl w:val="0"/>
          <w:numId w:val="0"/>
        </w:numPr>
      </w:pPr>
    </w:p>
    <w:p w14:paraId="5D57D48C" w14:textId="6264F608" w:rsidR="005A6E3D" w:rsidRDefault="005A6E3D" w:rsidP="00913B4A">
      <w:pPr>
        <w:pStyle w:val="ListBullet"/>
        <w:numPr>
          <w:ilvl w:val="0"/>
          <w:numId w:val="0"/>
        </w:numPr>
      </w:pPr>
      <w:r>
        <w:t xml:space="preserve">See link below for explanation. </w:t>
      </w:r>
    </w:p>
    <w:p w14:paraId="563F86FE" w14:textId="77777777" w:rsidR="005A6E3D" w:rsidRDefault="005A6E3D" w:rsidP="00913B4A">
      <w:pPr>
        <w:pStyle w:val="ListBullet"/>
        <w:numPr>
          <w:ilvl w:val="0"/>
          <w:numId w:val="0"/>
        </w:numPr>
      </w:pPr>
    </w:p>
    <w:p w14:paraId="42292830" w14:textId="1482270C" w:rsidR="005A6E3D" w:rsidRDefault="00F27591" w:rsidP="00913B4A">
      <w:pPr>
        <w:pStyle w:val="ListBullet"/>
        <w:numPr>
          <w:ilvl w:val="0"/>
          <w:numId w:val="0"/>
        </w:numPr>
      </w:pPr>
      <w:hyperlink r:id="rId16" w:history="1">
        <w:r w:rsidRPr="00D85FBB">
          <w:rPr>
            <w:rStyle w:val="Hyperlink"/>
          </w:rPr>
          <w:t>https://processbliss.com/difference-between-policy-process-procedure/#:~:text=Policy%3A%20%E2%80%9Ca%20course%20or%20principle,official%20way%20of%20doing%20something.%E2%80%9D</w:t>
        </w:r>
      </w:hyperlink>
    </w:p>
    <w:p w14:paraId="69C5C8DC" w14:textId="6020B4A6" w:rsidR="00F27591" w:rsidRDefault="00F27591" w:rsidP="00913B4A">
      <w:pPr>
        <w:pStyle w:val="ListBullet"/>
        <w:numPr>
          <w:ilvl w:val="0"/>
          <w:numId w:val="0"/>
        </w:numPr>
      </w:pPr>
    </w:p>
    <w:p w14:paraId="51264438" w14:textId="33453860" w:rsidR="00F27591" w:rsidRDefault="00F27591" w:rsidP="00913B4A">
      <w:pPr>
        <w:pStyle w:val="ListBullet"/>
        <w:numPr>
          <w:ilvl w:val="0"/>
          <w:numId w:val="0"/>
        </w:numPr>
      </w:pPr>
      <w:r>
        <w:t xml:space="preserve">In practice many organisations </w:t>
      </w:r>
      <w:proofErr w:type="gramStart"/>
      <w:r>
        <w:t>actually use</w:t>
      </w:r>
      <w:proofErr w:type="gramEnd"/>
      <w:r>
        <w:t xml:space="preserve"> these interchangeably, such as the SQA example where their ‘procedure’ contained both ‘policy’ and ‘process’. </w:t>
      </w:r>
    </w:p>
    <w:p w14:paraId="019099BD" w14:textId="2366997D" w:rsidR="00F27591" w:rsidRDefault="00F27591" w:rsidP="00913B4A">
      <w:pPr>
        <w:pStyle w:val="ListBullet"/>
        <w:numPr>
          <w:ilvl w:val="0"/>
          <w:numId w:val="0"/>
        </w:numPr>
      </w:pPr>
    </w:p>
    <w:p w14:paraId="321B223C" w14:textId="0DB64AA9" w:rsidR="00F27591" w:rsidRDefault="00F27591" w:rsidP="00913B4A">
      <w:pPr>
        <w:pStyle w:val="ListBullet"/>
        <w:numPr>
          <w:ilvl w:val="0"/>
          <w:numId w:val="0"/>
        </w:numPr>
      </w:pPr>
      <w:r>
        <w:t xml:space="preserve">For the exam stick to ‘policy’ and ‘procedure’. As the link explaining the difference state the policy drives the processes and procedures and is more long term and established, for example a company can have a CSR policy contained within their procurement policy on their overall CSR approach. </w:t>
      </w:r>
    </w:p>
    <w:p w14:paraId="255AFE9A" w14:textId="2EE61F2E" w:rsidR="00F27591" w:rsidRDefault="00F27591" w:rsidP="00913B4A">
      <w:pPr>
        <w:pStyle w:val="ListBullet"/>
        <w:numPr>
          <w:ilvl w:val="0"/>
          <w:numId w:val="0"/>
        </w:numPr>
      </w:pPr>
    </w:p>
    <w:p w14:paraId="4D46FB41" w14:textId="7E29424C" w:rsidR="00F27591" w:rsidRDefault="00F27591" w:rsidP="00913B4A">
      <w:pPr>
        <w:pStyle w:val="ListBullet"/>
        <w:numPr>
          <w:ilvl w:val="0"/>
          <w:numId w:val="0"/>
        </w:numPr>
      </w:pPr>
      <w:proofErr w:type="gramStart"/>
      <w:r>
        <w:t>Generally</w:t>
      </w:r>
      <w:proofErr w:type="gramEnd"/>
      <w:r>
        <w:t xml:space="preserve"> policies are linked to support strategies.</w:t>
      </w:r>
    </w:p>
    <w:p w14:paraId="17D2369C" w14:textId="7685CB19" w:rsidR="00F27591" w:rsidRDefault="00F27591" w:rsidP="00913B4A">
      <w:pPr>
        <w:pStyle w:val="ListBullet"/>
        <w:numPr>
          <w:ilvl w:val="0"/>
          <w:numId w:val="0"/>
        </w:numPr>
      </w:pPr>
    </w:p>
    <w:p w14:paraId="05CD626A" w14:textId="77777777" w:rsidR="00F27591" w:rsidRDefault="00F27591" w:rsidP="00913B4A">
      <w:pPr>
        <w:pStyle w:val="ListBullet"/>
        <w:numPr>
          <w:ilvl w:val="0"/>
          <w:numId w:val="0"/>
        </w:numPr>
      </w:pPr>
    </w:p>
    <w:p w14:paraId="0899A975" w14:textId="0A069CA3" w:rsidR="00F27591" w:rsidRDefault="00F27591" w:rsidP="00913B4A">
      <w:pPr>
        <w:pStyle w:val="ListBullet"/>
        <w:numPr>
          <w:ilvl w:val="0"/>
          <w:numId w:val="0"/>
        </w:numPr>
      </w:pPr>
    </w:p>
    <w:p w14:paraId="3AB3D65B" w14:textId="77777777" w:rsidR="00F27591" w:rsidRPr="005A6E3D" w:rsidRDefault="00F27591" w:rsidP="00913B4A">
      <w:pPr>
        <w:pStyle w:val="ListBullet"/>
        <w:numPr>
          <w:ilvl w:val="0"/>
          <w:numId w:val="0"/>
        </w:numPr>
      </w:pPr>
    </w:p>
    <w:sectPr w:rsidR="00F27591" w:rsidRPr="005A6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D242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5C563F"/>
    <w:multiLevelType w:val="hybridMultilevel"/>
    <w:tmpl w:val="E2C0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D638B"/>
    <w:multiLevelType w:val="hybridMultilevel"/>
    <w:tmpl w:val="0C02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E568D"/>
    <w:multiLevelType w:val="hybridMultilevel"/>
    <w:tmpl w:val="4B8C9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10DFE"/>
    <w:multiLevelType w:val="hybridMultilevel"/>
    <w:tmpl w:val="6D2C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AC"/>
    <w:rsid w:val="005A6E3D"/>
    <w:rsid w:val="00913B4A"/>
    <w:rsid w:val="00C359AF"/>
    <w:rsid w:val="00F27591"/>
    <w:rsid w:val="00FB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8EFD"/>
  <w15:chartTrackingRefBased/>
  <w15:docId w15:val="{2ECBF9B9-643A-4D79-8AD0-4BD1F690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B2AAC"/>
    <w:pPr>
      <w:numPr>
        <w:numId w:val="1"/>
      </w:numPr>
      <w:contextualSpacing/>
    </w:pPr>
  </w:style>
  <w:style w:type="character" w:styleId="Hyperlink">
    <w:name w:val="Hyperlink"/>
    <w:basedOn w:val="DefaultParagraphFont"/>
    <w:uiPriority w:val="99"/>
    <w:unhideWhenUsed/>
    <w:rsid w:val="00FB2AAC"/>
    <w:rPr>
      <w:color w:val="0000FF"/>
      <w:u w:val="single"/>
    </w:rPr>
  </w:style>
  <w:style w:type="character" w:styleId="UnresolvedMention">
    <w:name w:val="Unresolved Mention"/>
    <w:basedOn w:val="DefaultParagraphFont"/>
    <w:uiPriority w:val="99"/>
    <w:semiHidden/>
    <w:unhideWhenUsed/>
    <w:rsid w:val="005A6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cmodelsupplierselection.com/control-of-internal-processes/" TargetMode="External"/><Relationship Id="rId13" Type="http://schemas.openxmlformats.org/officeDocument/2006/relationships/hyperlink" Target="https://www.10cmodelsupplierselection.com/cs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0cmodelsupplierselection.com/commitment-to-quality" TargetMode="External"/><Relationship Id="rId12" Type="http://schemas.openxmlformats.org/officeDocument/2006/relationships/hyperlink" Target="https://www.10cmodelsupplierselection.com/cult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cessbliss.com/difference-between-policy-process-procedure/#:~:text=Policy%3A%20%E2%80%9Ca%20course%20or%20principle,official%20way%20of%20doing%20something.%E2%80%9D" TargetMode="External"/><Relationship Id="rId1" Type="http://schemas.openxmlformats.org/officeDocument/2006/relationships/numbering" Target="numbering.xml"/><Relationship Id="rId6" Type="http://schemas.openxmlformats.org/officeDocument/2006/relationships/hyperlink" Target="https://www.10cmodelsupplierselection.com/capacity/" TargetMode="External"/><Relationship Id="rId11" Type="http://schemas.openxmlformats.org/officeDocument/2006/relationships/hyperlink" Target="https://www.10cmodelsupplierselection.com/cost/" TargetMode="External"/><Relationship Id="rId5" Type="http://schemas.openxmlformats.org/officeDocument/2006/relationships/hyperlink" Target="https://www.10cmodelsupplierselection.com/competency/" TargetMode="External"/><Relationship Id="rId15" Type="http://schemas.openxmlformats.org/officeDocument/2006/relationships/hyperlink" Target="https://www.sqa.org.uk/sqa/files_ccc/Procurement_Procedures.doc" TargetMode="External"/><Relationship Id="rId10" Type="http://schemas.openxmlformats.org/officeDocument/2006/relationships/hyperlink" Target="https://www.10cmodelsupplierselection.com/consistency-of-performance/" TargetMode="External"/><Relationship Id="rId4" Type="http://schemas.openxmlformats.org/officeDocument/2006/relationships/webSettings" Target="webSettings.xml"/><Relationship Id="rId9" Type="http://schemas.openxmlformats.org/officeDocument/2006/relationships/hyperlink" Target="https://www.10cmodelsupplierselection.com/cash-and-finance/" TargetMode="External"/><Relationship Id="rId14" Type="http://schemas.openxmlformats.org/officeDocument/2006/relationships/hyperlink" Target="https://www.10cmodelsupplierselection.com/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COLIN RICHARD (PGT)</dc:creator>
  <cp:keywords/>
  <dc:description/>
  <cp:lastModifiedBy>MCINTYRE, COLIN RICHARD (PGT)</cp:lastModifiedBy>
  <cp:revision>1</cp:revision>
  <dcterms:created xsi:type="dcterms:W3CDTF">2022-05-15T08:15:00Z</dcterms:created>
  <dcterms:modified xsi:type="dcterms:W3CDTF">2022-05-15T09:11:00Z</dcterms:modified>
</cp:coreProperties>
</file>